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d949a7256934717" /><Relationship Type="http://schemas.openxmlformats.org/package/2006/relationships/metadata/core-properties" Target="/package/services/metadata/core-properties/8ddb9899287f4529a8cbbcb347c24be8.psmdcp" Id="R59e1e40bccac46c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государственной итоговой аттестации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Борщук Евгений Леонидович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Установление соответствия уровня и качества подготовки ординатора квалификационным характеристикам врача-организатора здравоохранения и общественного здоровья.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 качество подготовки ординатора по специальности «Организация здравоохранения и общественное здоровье», его профессиональную компетентность.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готовности к осуществлению основных видов деятельности в соответствии с квалификационной характеристикой.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Установить уровень усвоения клиническим ординатором материала, предусмотренного учебными программами дисциплин (разделов).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знаний и умений, позволяющий решать профессиональные задачи.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информационной и коммуникативной культуры.</w:t>
      </w:r>
    </w:p>
    <w:p w:rsidRPr="00B71FD5" w:rsidR="00E23389" w:rsidP="00B71FD5" w:rsidRDefault="00E23389">
      <w:pPr>
        <w:pStyle w:val="2"/>
      </w:pPr>
      <w:r w:rsidRPr="00B71FD5">
        <w:t>3. Требования к результатам освоения основной профессиональной образовательной программы специальности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вопросы организации гигиенического воспитания и формирования здорового образа жизни у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основы профилактики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нормативно-правовые документы, регулирующие деятельность врача-организатора здравоохранения и общественного здоровья в области охраны здоровья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анализ показателей, характеризующих состояние здоровья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нормативно-правовыми документами, регламентирующие проведение профилактики заболеваний и формирование здорового образа жизни.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анализа данных, отражающих проведение работ по профилактике заболеваний.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подготовки информационно-справочных материалов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организации санитарной охраны территории от заноса особо опасных инфекционных болезней.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принципы профилактики особо опасных инфекционных заболеваний.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вопросы организации и проведения противоэпидемических мероприятий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ликвидацию стихийных бедствий и иных чрезвычайных ситуаций.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и проведения комплекса дезинфекционных мероприятий в очагах особо опасных инфекций.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теория и методы статистики.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статистические методы обработки данных, в том числе с использованием информационно-аналитических систем и информационно-телекоммуникационной сети «Интернет».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расчет, оценка и анализ показателей здоровья взрослого населения и подростков.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рассчитывать показатели здоровья взрослого населения и подростков.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своей работе информационно-аналитические системы и информационно-телекоммуникационную сеть «Интернет».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проведения анализа показателей, характеризующих состояние здоровья взрослого населения и подростков.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вопросы организации гигиенического воспитания и формирования здорового образа жизни у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реализовывать этические и деонтологичечкие аспекты врачебной деятельности в общении с коллегами и пациентами.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 и оценка показателей, характеризующих деятельность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теорию управления и организации труда, включая основы проектного и программно-целевого управления.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программу государственных гарантий бесплатного оказания гражданам медицинской помощи, территориальную программу государственных гарантий бесплатного оказания гражданам медицинской помощи.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методы планирования, виды и структура планов.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разрабатывать планы деятельности и программы, формировать систему показателей деятельности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сбор и анализ информации о деятельности структурных подразделений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производить оценку эффективности деятельности медицинской организации, разрабатывать и выбирать оптимальные управленческие решения.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и проводить внутренний контроль качества и безопасности медицинской деятельности в подразделениях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анализа выполнения планов и программ деятельности структурных подразделений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контроля деятельности структурных подразделений медицинской организации по реализации плановых и программных документов.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виды, формы и методы внутреннего контроля качества и безопасности медицинской деятельности в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формировать аналитические отчеты по результатам проведения внутреннего контроля качества и безопасности медицинской деятельности в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разработки документационного сопровождения системы внутреннего контроля качества в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организации санитарной охраны территории от заноса карантинных и других особо опасных инфекционных болезней.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принципы профилактики особо опасных и карантинных инфекций.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организацию гигиенического воспитания и формирования здорового образа жизни у населения.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организацию противоэпидемических мероприятий в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и проводить мероприятия при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работы с нормативно-правовыми документами по планированию и организации мероприятий при чрезвычайных ситуациях.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оценке экономических и финансовых показателей, применяемых в сфере охраны здоровья граждан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управленческий и статистический учет в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ресурсное обеспечение подразделений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подготовки плана закупок в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особенности санитарно-эпидемиологического режима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требования к эксплуатации медицинских изделий в структурном подразделении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 заполнения документации в медицинских организациях и сроки хранения документации.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составлять план работы и отчет о своей работе, анализировать свою деятельность.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планирования работы, анализа и составления отчета о своей деятельности.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требования по обеспечению безопасности персональных данных работников организации, пациентов и сведений, составляющих врачебную тайну.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руководить находящимися в подчинении работниками структурного подразделения медицинской организации.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контроля выполнения работниками подразделения правил внутреннего трудового распорядка, требований охраны труда, пожарной безопасности.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делового общения: организация совещаний, деловая переписка, электронный документооборот.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консультировать работников медицинской организации по вопросам медицинской статистики.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проведения занятий с работниками медицинской организации по вопросам медицинской статистики.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организации непрерывного совершенствования профессиональных знаний и навыков в течение трудовой жизни.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4. Содержание государственной итоговой аттестации по этапам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Сдача практических навыков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Оценка уровня и качества освоения практических навыков - первый этап государственной итоговой аттестации. Оцениваются навыки соответствующие квалификационным характеристикам врача-организатора здравоохранения и общественного здоровья. Виды оценки практических навыков: решение проблемно-ситуационных задач по расчету и анализу медико-статистических показателей. Результаты оценки практических навыков и умений оцениваются по пятибалльной системе. При оценке «неудовлетворительно» клинический ординатор не допускается к следующему этапу.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Экзамен в устной форме по экзаменационным билетам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Экзаменационное собеседование – второй этап государственной итоговой аттестации. Проверяется способность экзаменуемого в использовании приобретенных знаний, умений и практических навыков для решения профессиональных задач врача по организации здравоохранения и общественному здоровью. Результаты собеседования оцениваются по пятибалльной системе.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Перечень учебно-методического обеспечения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6. Фонд оценочных средств для проведения государственной итоговой аттестации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Сдача практических навыков</w:t>
            </w:r>
          </w:p>
        </w:tc>
        <w:tc>
          <w:tcPr>
            <w:tcW w:w="10454" w:type="dxa"/>
          </w:tcPr>
          <w:p w:rsidR="00B71FD5" w:rsidP="00B71FD5" w:rsidRDefault="00B71FD5">
            <w:r>
              <w:t>В ГБУЗ «РБ» после дорожно-транспортного происшествия на трассе М-6 госпитализировано 4 человека, из которых 2 ребенка. Один пострадавший в тяжелом состоянии, 3 – в состоянии средней степени и 2 - легкой степени тяжести. Общее число пострадавших при автомобильной аварии составило 6 человек. Данное сообщение поступило в оперативно-диспетчерский отдел Территориального центра Медицины катастроф как чрезвычайная ситуация федерального уровня. Задания: 1. К какому уровню (региональному или федеральному) относится данное ДТП? 2. Правильно ли принято решение о госпитализации пострадавших в ГБУЗ «РБ»?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При проведении проверки инфекционного отделения медицинского учреждения специалистами Территориального отдела управления ФС по надзору в сфере защиты прав потребителей и благополучия человека по Мурманской области (далее - Территориальный отдел) в К. и Т. районах выявлены нарушения соблюдения СанПиН 2.1.2630-10 «Санитарно-эпидемиологические требования к организациям, осуществляющим медицинскую деятельность». Во исполнение предписания Территориального отдела от 14.11.2013 г. № 058360-в в инфекционном отделении запланировано проведение ремонтных работ для устранения нарушений в установленные предписанием сроки (с 20.06.2014 г. по 31.08.2014 г.). Задание: 1. Каким образом следует организовать медицинскую помощь инфекционным больным в период проведения ремонта инфекционного отделения?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Порядками оказания медицинской помощи детям со стоматологическими заболеваниями, утвержденными приказом МЗ РФ от 13.11.2012 г. № 910н, предусмотрено проведение лечения множественного осложнения кариеса у детей до 3 лет, а также иных стоматологических заболеваний по медицинским показаниям у детей независимо от возраста под общей анестезией. По многолетним наблюдениям в городе Н. ежегодно в анестезиологическом пособии нуждаются 190-200 детей при проведении стоматологических вмешательств по поводу осложненных форм кариеса. Задание: 1. Подготовьте проект приказа главного врача медицинской организации по реализации данной задачи.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 адрес медицинского центра обратилась женщина, которая пояснила, что является супругой гр. А. Сам пациент подойти не смог за ответами анализов по объективным причинам (постоянно днем работает). Супруга добавила, что в курсе всех заболеваний мужа и знает цель сдачи данных анализов. Просит выдать результаты обследования. Задания: 1. Что такое врачебная тайна? Какие сведения составляют врачебную тайну? 2. Какие условия должны быть соблюдены для получения доступа к данным, составляющим врачебную тайну? Имеет ли право получить данные сведения супруга пациента (близкий родственник)? 3. Приведите нормативные документы, регламентирующие порядок оперирования со сведениями, составляющими врачебную тайну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Гр. К. приехала отдыхать в другой город, где внезапно заболела. С высокой температурой, имея на руках страховой медицинский полис, она обратилась в медицинское учреждение, в котором ей отказали в бесплатной медицинской помощи. Задания: 1. Каким законодательным документом определено право граждан на получение бесплатной медицинской помощи в РФ? 2. Какие документы необходимо иметь на руках, кроме страхового медицинского полиса, для получения бесплатной медицинской помощи не по месту проживания? 3. В какую организацию необходимо было обратиться для защиты прав застрахованных? 4. Между какими участниками обязательного медицинского страхования должны быть произведены взаиморасчеты за медицинскую помощь, оказанную иногородним?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Экзамен в устной форме по экзаменационным билетам</w:t>
            </w:r>
          </w:p>
        </w:tc>
        <w:tc>
          <w:tcPr>
            <w:tcW w:w="10454" w:type="dxa"/>
          </w:tcPr>
          <w:p w:rsidR="00B71FD5" w:rsidP="00B71FD5" w:rsidRDefault="00B71FD5">
            <w:r>
              <w:t>Факторы, обусловливающие состояние здоровья и нездоровья (болезни).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Понятия телемедицины, «цифрового» здравоохранения, информационно-телекоммуникационных технологий и роль информационных технологий в программах модернизации и развития здравоохранения. Основные направления информатизации.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Защита персональных данных. Федеральное законодательство. Документы Минздрава РФ по информатизации и телемедицине.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Медицинские информационные системы: понятие, виды. Взаимосвязь локальных и глобальных систем при оказании телемедицинских услуг.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Единая государственная информационная система здравоохранения. Облачные технологии. Федеральные и региональные сервисы.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Медицинские ресурсы Интернета. Поисковые системы. WEB-сервис. Виды электронных медицинских ресурсов. Медицинские интернет-сайты.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к заключению консультанта при телеконсультации.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Определение медицинской статистики как науки. Предмет ее изучения, ее составные части. Значение медицинской статистики для теории и практики здравоохранения и медицины.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Методика статистического исследования, его этапы, их характеристика.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Абсолютные и производные статистические величины. Относительные величины, их сравнительная характеристика.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Средние величины в медицинской статистике: их свойства, методы вычисления, область применения.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Критерии разнообразия признака (лимит, амплитуда, среднеквадратическое отклонение, коэффициент вариации), методы вычисления, практическое значение.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Оценка обобщаемости и статистической значимости результатов исследования (ошибка репрезентативности и доверительные границы средних и относительных величин, оценка статистической значимости различий между сравниваемыми группами по качественным и количественным признакам).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о функциональной и корреляционной связи. Коэффициент корреляции, его оценка, методы расчета, значение, практическое применение.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Динамический ряд: определение, типы рядов. Показатели динамического ряда, их вычисление, практическое применение. Преобразование динамических рядов.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Графическое изображение в медицинской статистике, виды, использование для анализа явлений.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Статика населения. Численность и состав населения. Динамика населения. Механическое (миграция) и естественное (воспроизводство) движения населения.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тенденции демографических процессов в Российской Федерации и Оренбургской области.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Интегральные показатели естественного движения населения – ОППЖ (ожидаемая продолжительность предстоящей жизни) и младенческая смертность. Динамика этих показателей в Российской Федерации и Оренбургской области.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Заболеваемость – ведущий показатель общественного здоровья. Методы изучения заболеваемости. Виды заболеваемости по обращаемости. Уровни и структура заболеваемости населения Российской Федерации и Оренбургской области.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Инвалидность как показатель общественного здоровья. Уровни и структура инвалидности населения Российской Федерации и Оренбургской области.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Состояние здоровья женского населения Российской Федерации и Оренбургской области.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Состояние здоровья детского населения Российской Федерации и Оренбургской области.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Болезни системы кровообращения. Эпидемиология: уровни заболеваемости, смертности и факторы риска. Профилактика и пути снижения смертности по причине болезней системы кровообращения.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Распространенность болезней, характеризующихся повышенным кровяным давлением. Профилактика, предупреждение осложнений и снижение смертности.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Злокачественные новообразования. Эпидемиология: уровни заболеваемости, смертности и факторы риска.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Туберкулез. Эпидемиология: уровни заболеваемости, смертности и факторы риска.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Инфекции, передающиеся преимущественно половым путем. Распространенность в Российской Федерации и Оренбургской области.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Сахарный диабет. Эпидемиология: уровни заболеваемости, инвалидности и смертности.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Психические расстройства и расстройства поведения. Эпидемиология: уровни заболеваемости и факторы риска.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ВИЧ-инфекция, СПИД – медико-социальная проблема.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Заболевания, представляющие опасность для окружающих. Распространенность. Пути снижения заболеваемости.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Законодательство Российской Федерации в сфере охраны здоровья граждан. Основные принципы охраны здоровья в Российской Федерации.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Соблюдение прав граждан в сфере охраны здоровья и обеспечение связанных с этими правами государственных гарантий.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Права и обязанности граждан в сфере охраны здоровья.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Охрана здоровья матери и ребенка, вопросы семьи и репродуктивного здоровья.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охраны здоровья граждан в Российской Федерации.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Профилактика заболеваний и формирование здорового образа жизни.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Виды, условия и формы оказания медицинской помощи.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Медицинские осмотры. Диспансеризация.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Основы менеджмента в здравоохранении. Субъект и объект управления. Цель и основные задачи организации.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Законодательство Российской Федерации в сфере медицинского страхования.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Обязательное медицинское страхование в Российской Федерации. Основные принципы осуществления обязательного медицинского страхования. Субъекты и участники обязательного медицинского страхования.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Контроль в сфере охраны здоровья. Формы контроля качества и безопасности медицинской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Государственный и ведомственный контроль качества и безопасности медицинской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Внутренний контроль качества и безопасности медицинской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Федеральный государственный санитарно-эпидемиологический надзор.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Информационные системы в сфере здравоохранения.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Персонифицированный учет при осуществлении медицинской деятельности.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Санитарно-эпидемиологическое благополучие населения, определение понятия. Место и роль санитарно-эпидемиологической службы в его обеспечении.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Обязательное медицинское страхование: правовые основы, основные понятия, принципы осуществления ОМС.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Субъекты и участники обязательного медицинского страхования, краткая характеристика.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Программа государственных гарантий бесплатного оказания гражданам медицинской помощи. Территориальная программа государственных гарантий.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Качество медицинской помощи. Определение понятия, основные компоненты и составляющие. Методы оценки качества медицинской помощи.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Профилактика болезней: цель, задачи, уровни и виды. Стадии профилактики. Критерии оценки эффективности профилактики.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Гигиеническое обучение и воспитание населения: цели, принципы, методы, формы и средства.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эффективности здравоохранения. Виды (медицинская, социальная и экономическая), критерии и оценка.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Определение понятия «Управление», принципы управления и их характеристика.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Функции управления и их характеристика. Стили и методы управления.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Планирование здравоохранения: принципы, задачи и основные методы планирования.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Методика планирования амбулаторно-поликлинической и стационарной медицинской помощи.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Источники финансирования здравоохранения в России. Финансирование медицинских организаций.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Перечислите принципы ведения деловой беседы, функции деловой беседы.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Деловой телефонный разговор. Деловое совещание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Чрезвычайные ситуации: сущность, основные понятия и методы медицинской эвакуации.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Нормативно-правовое регулирование вопросов организации медицинской помощи при чрезвычайных ситуациях.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7. Перечень основной и дополнительной учебной литературы, необходимой для проведения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Общественное здоровье и здравоохранение. Национальное руководство / гл. ред. Г. Э. Улумбекова, В. А. Медик. - 2-е изд. - Москва : ГЭОТАР-Медиа, 2022. - 1144 с. - ISBN 978-5-9704-6723-7. - Текст : электронный // URL : https://www.rosmedlib.ru/book/ISBN9785970467237.html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Царик, Г. Н. Здравоохранение и общественное здоровье : учебник / под ред. Г. Н. Царик. - Москва : ГЭОТАР-Медиа, 2021. - 912 с. - ISBN 978-5-9704-6044-3. - Текст : электронный // ЭБС "Консультант студента" : [сайт]. - URL : https://www.studentlibrary.ru/book/ISBN9785970460443.html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Медик, В. А. Общественное здоровье и здравоохранение : руководство к практическим : учебное пособие / Медик В. А. - Москва : ГЭОТАР-Медиа, 2018. - 464 с. - ISBN 978-5-9704-4291-3. - Текст : электронный // ЭБС "Консультант студента" : [сайт]. - URL : https://www.studentlibrary.ru/book/ISBN9785970442913.html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– Оренбург : [б. и.], 2014. – Загл. С титул. Экрана. – Режим доступа http://lib.orgma.ru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Анализ деятельности медицинской организации[Электронный ресурс] : учебное пособие / О. И. Матчина, Н. А. Баянова, Е. Л. Борщук [и др.]. год издания: 2019–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государственной итоговой аттестации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B71FD5" w:rsidRDefault="00E23389">
      <w:pPr>
        <w:pStyle w:val="2"/>
      </w:pPr>
      <w:r w:rsidRPr="00B71FD5">
        <w:t>8. Описание материально-технической базы, необходимой для осуществления процесса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Учебная комната: 460002, Оренбургская область, г. Оренбург, пр. Парковый, 7 № 105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проектор, экран, ноутбук. Учебная мебель на 24 посадочных мест (столы, стулья). Мебель для преподавателя (стол, стул). Мобильный компьютерный класс 16 рабочих мест, обеспеченных ноутбуками с подключением к сети Интернет и доступом в электронную информационно-образовательную среду вуза. Учебная доска.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